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0BC" w:rsidR="009C30FB" w:rsidP="009F784C" w:rsidRDefault="00DF6CD2" w14:paraId="5B8E8CFA" w14:textId="3484FA12">
      <w:pPr>
        <w:spacing w:after="0"/>
        <w:rPr>
          <w:rFonts w:ascii="Baxter Sans Core" w:hAnsi="Baxter Sans Core"/>
        </w:rPr>
      </w:pPr>
      <w:r w:rsidRPr="00C850BC">
        <w:rPr>
          <w:rFonts w:ascii="Baxter Sans Core" w:hAnsi="Baxter Sans Core"/>
          <w:b/>
          <w:color w:val="4365E2"/>
        </w:rPr>
        <w:t xml:space="preserve">University of Dundee Scholarship </w:t>
      </w:r>
    </w:p>
    <w:p w:rsidRPr="00C850BC" w:rsidR="009C30FB" w:rsidRDefault="00DF6CD2" w14:paraId="06C34132" w14:textId="77777777">
      <w:pPr>
        <w:spacing w:after="0"/>
        <w:rPr>
          <w:rFonts w:ascii="Baxter Sans Core" w:hAnsi="Baxter Sans Core"/>
        </w:rPr>
      </w:pPr>
      <w:r w:rsidRPr="00C850BC">
        <w:rPr>
          <w:rFonts w:ascii="Baxter Sans Core" w:hAnsi="Baxter Sans Core"/>
          <w:b/>
          <w:color w:val="4365E2"/>
        </w:rPr>
        <w:t xml:space="preserve"> </w:t>
      </w:r>
    </w:p>
    <w:p w:rsidRPr="00B211B9" w:rsidR="00B211B9" w:rsidP="009F784C" w:rsidRDefault="00DF6CD2" w14:paraId="5BAD3BB0" w14:textId="467DC2FC">
      <w:pPr>
        <w:spacing w:after="0"/>
        <w:ind w:left="-5" w:hanging="10"/>
        <w:rPr>
          <w:rFonts w:ascii="Baxter Sans Core" w:hAnsi="Baxter Sans Core"/>
          <w:b/>
          <w:color w:val="4365E2"/>
        </w:rPr>
      </w:pPr>
      <w:r w:rsidRPr="00C850BC">
        <w:rPr>
          <w:rFonts w:ascii="Baxter Sans Core" w:hAnsi="Baxter Sans Core"/>
          <w:b/>
          <w:color w:val="4365E2"/>
        </w:rPr>
        <w:t xml:space="preserve">Discover </w:t>
      </w:r>
      <w:r w:rsidRPr="00C850BC" w:rsidR="00C123F9">
        <w:rPr>
          <w:rFonts w:ascii="Baxter Sans Core" w:hAnsi="Baxter Sans Core"/>
          <w:b/>
          <w:color w:val="4365E2"/>
        </w:rPr>
        <w:t>Life Sciences</w:t>
      </w:r>
      <w:r w:rsidRPr="00C850BC">
        <w:rPr>
          <w:rFonts w:ascii="Baxter Sans Core" w:hAnsi="Baxter Sans Core"/>
          <w:b/>
          <w:color w:val="4365E2"/>
        </w:rPr>
        <w:t xml:space="preserve"> at Dundee Scholarship </w:t>
      </w:r>
      <w:r w:rsidRPr="00C850BC" w:rsidR="00C123F9">
        <w:rPr>
          <w:rFonts w:ascii="Baxter Sans Core" w:hAnsi="Baxter Sans Core"/>
          <w:b/>
          <w:color w:val="4365E2"/>
        </w:rPr>
        <w:t>202</w:t>
      </w:r>
      <w:r w:rsidRPr="00C850BC" w:rsidR="00C850BC">
        <w:rPr>
          <w:rFonts w:ascii="Baxter Sans Core" w:hAnsi="Baxter Sans Core"/>
          <w:b/>
          <w:color w:val="4365E2"/>
        </w:rPr>
        <w:t>4</w:t>
      </w:r>
      <w:r w:rsidR="005E24B8">
        <w:rPr>
          <w:rFonts w:ascii="Baxter Sans Core" w:hAnsi="Baxter Sans Core"/>
          <w:b/>
          <w:color w:val="4365E2"/>
        </w:rPr>
        <w:t>/</w:t>
      </w:r>
      <w:r w:rsidRPr="00C850BC" w:rsidR="00C123F9">
        <w:rPr>
          <w:rFonts w:ascii="Baxter Sans Core" w:hAnsi="Baxter Sans Core"/>
          <w:b/>
          <w:color w:val="4365E2"/>
        </w:rPr>
        <w:t>2</w:t>
      </w:r>
      <w:r w:rsidRPr="00C850BC" w:rsidR="00C850BC">
        <w:rPr>
          <w:rFonts w:ascii="Baxter Sans Core" w:hAnsi="Baxter Sans Core"/>
          <w:b/>
          <w:color w:val="4365E2"/>
        </w:rPr>
        <w:t>5</w:t>
      </w:r>
      <w:r w:rsidRPr="00B211B9" w:rsidR="009F784C">
        <w:rPr>
          <w:rFonts w:ascii="Baxter Sans Core" w:hAnsi="Baxter Sans Core"/>
          <w:b/>
          <w:color w:val="4365E2"/>
        </w:rPr>
        <w:t xml:space="preserve"> </w:t>
      </w:r>
      <w:r w:rsidRPr="00B211B9" w:rsidR="00B211B9">
        <w:rPr>
          <w:rFonts w:ascii="Baxter Sans Core" w:hAnsi="Baxter Sans Core"/>
          <w:b/>
          <w:color w:val="4365E2"/>
        </w:rPr>
        <w:t xml:space="preserve">(the </w:t>
      </w:r>
      <w:r w:rsidR="007626EB">
        <w:rPr>
          <w:rFonts w:ascii="Baxter Sans Core" w:hAnsi="Baxter Sans Core"/>
          <w:b/>
          <w:color w:val="4365E2"/>
        </w:rPr>
        <w:t>“</w:t>
      </w:r>
      <w:r w:rsidRPr="00B211B9" w:rsidR="00B211B9">
        <w:rPr>
          <w:rFonts w:ascii="Baxter Sans Core" w:hAnsi="Baxter Sans Core"/>
          <w:b/>
          <w:color w:val="4365E2"/>
        </w:rPr>
        <w:t>Scholarship”)</w:t>
      </w:r>
    </w:p>
    <w:p w:rsidR="00B211B9" w:rsidP="009F784C" w:rsidRDefault="00B211B9" w14:paraId="2EDA52D2" w14:textId="77777777">
      <w:pPr>
        <w:spacing w:after="0"/>
        <w:ind w:left="-5" w:hanging="10"/>
        <w:rPr>
          <w:rFonts w:ascii="Baxter Sans Core" w:hAnsi="Baxter Sans Core"/>
        </w:rPr>
      </w:pPr>
    </w:p>
    <w:p w:rsidRPr="009F784C" w:rsidR="009C30FB" w:rsidP="009F784C" w:rsidRDefault="00DF6CD2" w14:paraId="35D9FA76" w14:textId="3ABF43D7">
      <w:pPr>
        <w:spacing w:after="0"/>
        <w:ind w:left="-5" w:hanging="10"/>
        <w:rPr>
          <w:rFonts w:ascii="Baxter Sans Core" w:hAnsi="Baxter Sans Core"/>
        </w:rPr>
      </w:pPr>
      <w:r w:rsidRPr="00C850BC">
        <w:rPr>
          <w:rFonts w:ascii="Baxter Sans Core" w:hAnsi="Baxter Sans Core"/>
          <w:b/>
          <w:color w:val="4365E2"/>
        </w:rPr>
        <w:t xml:space="preserve">Key Facts </w:t>
      </w:r>
      <w:r w:rsidR="00B211B9">
        <w:rPr>
          <w:rFonts w:ascii="Baxter Sans Core" w:hAnsi="Baxter Sans Core"/>
          <w:b/>
          <w:color w:val="4365E2"/>
        </w:rPr>
        <w:t>Document</w:t>
      </w:r>
    </w:p>
    <w:p w:rsidRPr="00C850BC" w:rsidR="009F784C" w:rsidP="009F784C" w:rsidRDefault="009F784C" w14:paraId="7C603CA6" w14:textId="77777777">
      <w:pPr>
        <w:spacing w:after="0"/>
        <w:rPr>
          <w:rFonts w:ascii="Baxter Sans Core" w:hAnsi="Baxter Sans Core"/>
        </w:rPr>
      </w:pPr>
    </w:p>
    <w:p w:rsidR="00050BB0" w:rsidP="00085F20" w:rsidRDefault="00050BB0" w14:paraId="457CD1B2" w14:textId="369575EC">
      <w:pPr>
        <w:spacing w:after="0"/>
        <w:ind w:right="-167"/>
        <w:jc w:val="both"/>
        <w:rPr>
          <w:rFonts w:ascii="Baxter Sans Core" w:hAnsi="Baxter Sans Core"/>
        </w:rPr>
      </w:pPr>
      <w:r w:rsidRPr="00050BB0">
        <w:rPr>
          <w:rFonts w:ascii="Baxter Sans Core" w:hAnsi="Baxter Sans Core"/>
        </w:rPr>
        <w:t xml:space="preserve">This Key Facts Document sets out the main details of the Scholarship, as at date of publication. This document should be reviewed alongside the </w:t>
      </w:r>
      <w:r w:rsidRPr="00050BB0">
        <w:rPr>
          <w:rFonts w:ascii="Baxter Sans Core" w:hAnsi="Baxter Sans Core"/>
          <w:b/>
          <w:bCs/>
          <w:u w:val="single"/>
        </w:rPr>
        <w:t>University of Dundee Scholarship Terms and Conditions,</w:t>
      </w:r>
      <w:r w:rsidRPr="00050BB0">
        <w:rPr>
          <w:rFonts w:ascii="Baxter Sans Core" w:hAnsi="Baxter Sans Core"/>
        </w:rPr>
        <w:t xml:space="preserve"> as those terms and conditions will provide you with additional information that apply to you in respect of the Scholarship.</w:t>
      </w:r>
    </w:p>
    <w:p w:rsidRPr="00C850BC" w:rsidR="009C30FB" w:rsidRDefault="00DF6CD2" w14:paraId="052E5F13" w14:textId="33C2712E">
      <w:pPr>
        <w:spacing w:after="0"/>
        <w:rPr>
          <w:rFonts w:ascii="Baxter Sans Core" w:hAnsi="Baxter Sans Core"/>
        </w:rPr>
      </w:pPr>
      <w:r w:rsidRPr="00C850BC">
        <w:rPr>
          <w:rFonts w:ascii="Baxter Sans Core" w:hAnsi="Baxter Sans Core"/>
        </w:rPr>
        <w:t xml:space="preserve"> </w:t>
      </w:r>
    </w:p>
    <w:tbl>
      <w:tblPr>
        <w:tblStyle w:val="TableGrid"/>
        <w:tblW w:w="10485" w:type="dxa"/>
        <w:tblInd w:w="5" w:type="dxa"/>
        <w:tblCellMar>
          <w:top w:w="50" w:type="dxa"/>
          <w:left w:w="105" w:type="dxa"/>
          <w:right w:w="61" w:type="dxa"/>
        </w:tblCellMar>
        <w:tblLook w:val="04A0" w:firstRow="1" w:lastRow="0" w:firstColumn="1" w:lastColumn="0" w:noHBand="0" w:noVBand="1"/>
      </w:tblPr>
      <w:tblGrid>
        <w:gridCol w:w="2266"/>
        <w:gridCol w:w="8219"/>
      </w:tblGrid>
      <w:tr w:rsidRPr="00C850BC" w:rsidR="009C30FB" w:rsidTr="2FED8AA9" w14:paraId="4A335575" w14:textId="77777777">
        <w:trPr>
          <w:trHeight w:val="280"/>
        </w:trPr>
        <w:tc>
          <w:tcPr>
            <w:tcW w:w="2266" w:type="dxa"/>
            <w:tcBorders>
              <w:top w:val="single" w:color="auto" w:sz="4" w:space="0"/>
              <w:left w:val="single" w:color="auto" w:sz="4" w:space="0"/>
              <w:bottom w:val="single" w:color="auto" w:sz="4" w:space="0"/>
              <w:right w:val="single" w:color="auto" w:sz="4" w:space="0"/>
            </w:tcBorders>
            <w:tcMar/>
          </w:tcPr>
          <w:p w:rsidRPr="00C850BC" w:rsidR="009C30FB" w:rsidP="00375374" w:rsidRDefault="00DF6CD2" w14:paraId="5F021333" w14:textId="77777777">
            <w:pPr>
              <w:ind w:left="5"/>
              <w:jc w:val="both"/>
              <w:rPr>
                <w:rFonts w:ascii="Baxter Sans Core" w:hAnsi="Baxter Sans Core"/>
              </w:rPr>
            </w:pPr>
            <w:r w:rsidRPr="00C850BC">
              <w:rPr>
                <w:rFonts w:ascii="Baxter Sans Core" w:hAnsi="Baxter Sans Core"/>
                <w:b/>
                <w:color w:val="4365E2"/>
              </w:rPr>
              <w:t xml:space="preserve">Date of publication </w:t>
            </w:r>
          </w:p>
        </w:tc>
        <w:tc>
          <w:tcPr>
            <w:tcW w:w="8219" w:type="dxa"/>
            <w:tcBorders>
              <w:top w:val="single" w:color="auto" w:sz="4" w:space="0"/>
              <w:left w:val="single" w:color="auto" w:sz="4" w:space="0"/>
              <w:bottom w:val="single" w:color="auto" w:sz="4" w:space="0"/>
              <w:right w:val="single" w:color="auto" w:sz="4" w:space="0"/>
            </w:tcBorders>
            <w:tcMar/>
          </w:tcPr>
          <w:p w:rsidR="009C30FB" w:rsidP="00752842" w:rsidRDefault="001A3F25" w14:paraId="5EB666C5" w14:textId="00868384">
            <w:pPr>
              <w:ind w:hanging="391"/>
              <w:jc w:val="both"/>
              <w:rPr>
                <w:rFonts w:ascii="Baxter Sans Core" w:hAnsi="Baxter Sans Core"/>
              </w:rPr>
            </w:pPr>
            <w:r>
              <w:rPr>
                <w:rFonts w:ascii="Baxter Sans Core" w:hAnsi="Baxter Sans Core"/>
              </w:rPr>
              <w:t xml:space="preserve">     </w:t>
            </w:r>
            <w:r w:rsidRPr="3155E0AD" w:rsidR="17E4F5E7">
              <w:rPr>
                <w:rFonts w:ascii="Baxter Sans Core" w:hAnsi="Baxter Sans Core"/>
              </w:rPr>
              <w:t>October</w:t>
            </w:r>
            <w:r w:rsidRPr="00C850BC" w:rsidR="00C123F9">
              <w:rPr>
                <w:rFonts w:ascii="Baxter Sans Core" w:hAnsi="Baxter Sans Core"/>
              </w:rPr>
              <w:t xml:space="preserve"> 2023</w:t>
            </w:r>
            <w:r w:rsidR="009417D0">
              <w:rPr>
                <w:rFonts w:ascii="Baxter Sans Core" w:hAnsi="Baxter Sans Core"/>
              </w:rPr>
              <w:t xml:space="preserve">, </w:t>
            </w:r>
            <w:r w:rsidRPr="3155E0AD" w:rsidR="009417D0">
              <w:rPr>
                <w:rFonts w:ascii="Baxter Sans Core" w:hAnsi="Baxter Sans Core" w:eastAsia="Times New Roman" w:cstheme="minorBidi"/>
                <w:lang w:val="en"/>
              </w:rPr>
              <w:t>applicable to 2024/5 academic year (September 2024 or January 2025 entry).</w:t>
            </w:r>
            <w:r w:rsidRPr="00C850BC" w:rsidR="00DF6CD2">
              <w:rPr>
                <w:rFonts w:ascii="Baxter Sans Core" w:hAnsi="Baxter Sans Core"/>
              </w:rPr>
              <w:t xml:space="preserve"> </w:t>
            </w:r>
          </w:p>
          <w:p w:rsidRPr="00C850BC" w:rsidR="002E27ED" w:rsidP="00752842" w:rsidRDefault="002E27ED" w14:paraId="6DA76750" w14:textId="4B734354">
            <w:pPr>
              <w:jc w:val="both"/>
              <w:rPr>
                <w:rFonts w:ascii="Baxter Sans Core" w:hAnsi="Baxter Sans Core"/>
              </w:rPr>
            </w:pPr>
          </w:p>
        </w:tc>
      </w:tr>
      <w:tr w:rsidRPr="00C850BC" w:rsidR="009C30FB" w:rsidTr="2FED8AA9" w14:paraId="5D8B1031" w14:textId="77777777">
        <w:trPr>
          <w:trHeight w:val="1725"/>
        </w:trPr>
        <w:tc>
          <w:tcPr>
            <w:tcW w:w="2266" w:type="dxa"/>
            <w:tcBorders>
              <w:top w:val="single" w:color="auto" w:sz="4" w:space="0"/>
              <w:left w:val="single" w:color="auto" w:sz="4" w:space="0"/>
              <w:bottom w:val="single" w:color="auto" w:sz="4" w:space="0"/>
              <w:right w:val="single" w:color="auto" w:sz="4" w:space="0"/>
            </w:tcBorders>
            <w:tcMar/>
          </w:tcPr>
          <w:p w:rsidRPr="00C850BC" w:rsidR="009C30FB" w:rsidP="00375374" w:rsidRDefault="00DF6CD2" w14:paraId="2E624AD6" w14:textId="77777777">
            <w:pPr>
              <w:ind w:left="5"/>
              <w:jc w:val="both"/>
              <w:rPr>
                <w:rFonts w:ascii="Baxter Sans Core" w:hAnsi="Baxter Sans Core"/>
              </w:rPr>
            </w:pPr>
            <w:r w:rsidRPr="00C850BC">
              <w:rPr>
                <w:rFonts w:ascii="Baxter Sans Core" w:hAnsi="Baxter Sans Core"/>
                <w:b/>
                <w:color w:val="4365E2"/>
              </w:rPr>
              <w:t xml:space="preserve">Application Process  </w:t>
            </w:r>
          </w:p>
          <w:p w:rsidRPr="00C850BC" w:rsidR="009C30FB" w:rsidP="00375374" w:rsidRDefault="00DF6CD2" w14:paraId="0BDDCBB6" w14:textId="77777777">
            <w:pPr>
              <w:ind w:left="5"/>
              <w:jc w:val="both"/>
              <w:rPr>
                <w:rFonts w:ascii="Baxter Sans Core" w:hAnsi="Baxter Sans Core"/>
              </w:rPr>
            </w:pPr>
            <w:r w:rsidRPr="00C850BC">
              <w:rPr>
                <w:rFonts w:ascii="Baxter Sans Core" w:hAnsi="Baxter Sans Core"/>
                <w:b/>
              </w:rPr>
              <w:t xml:space="preserve"> </w:t>
            </w:r>
          </w:p>
        </w:tc>
        <w:tc>
          <w:tcPr>
            <w:tcW w:w="8219" w:type="dxa"/>
            <w:tcBorders>
              <w:top w:val="single" w:color="auto" w:sz="4" w:space="0"/>
              <w:left w:val="single" w:color="auto" w:sz="4" w:space="0"/>
              <w:bottom w:val="single" w:color="auto" w:sz="4" w:space="0"/>
              <w:right w:val="single" w:color="auto" w:sz="4" w:space="0"/>
            </w:tcBorders>
            <w:tcMar/>
          </w:tcPr>
          <w:p w:rsidRPr="009417D0" w:rsidR="009417D0" w:rsidP="00752842" w:rsidRDefault="009417D0" w14:paraId="4AAE3163" w14:textId="0C8252B4">
            <w:pPr>
              <w:jc w:val="both"/>
              <w:rPr>
                <w:rFonts w:ascii="Baxter Sans Core" w:hAnsi="Baxter Sans Core"/>
                <w:b/>
                <w:bCs/>
              </w:rPr>
            </w:pPr>
            <w:r w:rsidRPr="009417D0">
              <w:rPr>
                <w:rFonts w:ascii="Baxter Sans Core" w:hAnsi="Baxter Sans Core"/>
                <w:b/>
                <w:bCs/>
              </w:rPr>
              <w:t>Automatic award</w:t>
            </w:r>
          </w:p>
          <w:p w:rsidR="009417D0" w:rsidP="00752842" w:rsidRDefault="009417D0" w14:paraId="5C8D37DA" w14:textId="77777777">
            <w:pPr>
              <w:ind w:left="360"/>
              <w:jc w:val="both"/>
              <w:rPr>
                <w:rFonts w:ascii="Baxter Sans Core" w:hAnsi="Baxter Sans Core"/>
              </w:rPr>
            </w:pPr>
          </w:p>
          <w:p w:rsidR="009C30FB" w:rsidP="00752842" w:rsidRDefault="00DF6CD2" w14:paraId="56DCC208" w14:textId="5F423355">
            <w:pPr>
              <w:numPr>
                <w:ilvl w:val="0"/>
                <w:numId w:val="9"/>
              </w:numPr>
              <w:ind w:hanging="326"/>
              <w:jc w:val="both"/>
              <w:rPr>
                <w:rFonts w:ascii="Baxter Sans Core" w:hAnsi="Baxter Sans Core"/>
              </w:rPr>
            </w:pPr>
            <w:r w:rsidRPr="00C850BC">
              <w:rPr>
                <w:rFonts w:ascii="Baxter Sans Core" w:hAnsi="Baxter Sans Core"/>
              </w:rPr>
              <w:t xml:space="preserve">There is no separate application form for this </w:t>
            </w:r>
            <w:r w:rsidR="00741EFD">
              <w:rPr>
                <w:rFonts w:ascii="Baxter Sans Core" w:hAnsi="Baxter Sans Core"/>
              </w:rPr>
              <w:t>S</w:t>
            </w:r>
            <w:r w:rsidRPr="00C850BC">
              <w:rPr>
                <w:rFonts w:ascii="Baxter Sans Core" w:hAnsi="Baxter Sans Core"/>
              </w:rPr>
              <w:t>cholarship.</w:t>
            </w:r>
          </w:p>
          <w:p w:rsidRPr="00C850BC" w:rsidR="002E27ED" w:rsidP="00752842" w:rsidRDefault="002E27ED" w14:paraId="4118A1DB" w14:textId="77777777">
            <w:pPr>
              <w:ind w:left="360" w:hanging="326"/>
              <w:jc w:val="both"/>
              <w:rPr>
                <w:rFonts w:ascii="Baxter Sans Core" w:hAnsi="Baxter Sans Core"/>
              </w:rPr>
            </w:pPr>
          </w:p>
          <w:p w:rsidRPr="002E27ED" w:rsidR="002E27ED" w:rsidP="00752842" w:rsidRDefault="00DF6CD2" w14:paraId="6E0F1D78" w14:textId="181B93F2">
            <w:pPr>
              <w:numPr>
                <w:ilvl w:val="0"/>
                <w:numId w:val="9"/>
              </w:numPr>
              <w:spacing w:after="39" w:line="242" w:lineRule="auto"/>
              <w:ind w:hanging="326"/>
              <w:jc w:val="both"/>
              <w:rPr>
                <w:rFonts w:ascii="Baxter Sans Core" w:hAnsi="Baxter Sans Core"/>
              </w:rPr>
            </w:pPr>
            <w:r w:rsidRPr="00C850BC">
              <w:rPr>
                <w:rFonts w:ascii="Baxter Sans Core" w:hAnsi="Baxter Sans Core"/>
              </w:rPr>
              <w:t xml:space="preserve">Our Admissions Team will use the information provided in the course application to assess eligibility for this scholarship.  </w:t>
            </w:r>
          </w:p>
          <w:p w:rsidRPr="00C850BC" w:rsidR="002E27ED" w:rsidP="00752842" w:rsidRDefault="002E27ED" w14:paraId="2A969642" w14:textId="77777777">
            <w:pPr>
              <w:spacing w:after="39" w:line="242" w:lineRule="auto"/>
              <w:ind w:hanging="326"/>
              <w:jc w:val="both"/>
              <w:rPr>
                <w:rFonts w:ascii="Baxter Sans Core" w:hAnsi="Baxter Sans Core"/>
              </w:rPr>
            </w:pPr>
          </w:p>
          <w:p w:rsidRPr="002E27ED" w:rsidR="002E27ED" w:rsidP="00752842" w:rsidRDefault="00DF6CD2" w14:paraId="0F9E29BC" w14:textId="7F2382CC">
            <w:pPr>
              <w:numPr>
                <w:ilvl w:val="0"/>
                <w:numId w:val="9"/>
              </w:numPr>
              <w:ind w:hanging="326"/>
              <w:jc w:val="both"/>
              <w:rPr>
                <w:rFonts w:ascii="Baxter Sans Core" w:hAnsi="Baxter Sans Core"/>
              </w:rPr>
            </w:pPr>
            <w:r w:rsidRPr="00C850BC">
              <w:rPr>
                <w:rFonts w:ascii="Baxter Sans Core" w:hAnsi="Baxter Sans Core"/>
              </w:rPr>
              <w:t xml:space="preserve">Confirmation of the award will be in writing and may be as part of the Offer Letter. </w:t>
            </w:r>
          </w:p>
          <w:p w:rsidRPr="00C850BC" w:rsidR="002E27ED" w:rsidP="00752842" w:rsidRDefault="002E27ED" w14:paraId="7579D270" w14:textId="77777777">
            <w:pPr>
              <w:ind w:left="360"/>
              <w:jc w:val="both"/>
              <w:rPr>
                <w:rFonts w:ascii="Baxter Sans Core" w:hAnsi="Baxter Sans Core"/>
              </w:rPr>
            </w:pPr>
          </w:p>
        </w:tc>
      </w:tr>
      <w:tr w:rsidRPr="00C850BC" w:rsidR="009C30FB" w:rsidTr="2FED8AA9" w14:paraId="35F6C7C0" w14:textId="77777777">
        <w:trPr>
          <w:trHeight w:val="2455"/>
        </w:trPr>
        <w:tc>
          <w:tcPr>
            <w:tcW w:w="2266" w:type="dxa"/>
            <w:tcBorders>
              <w:top w:val="single" w:color="auto" w:sz="4" w:space="0"/>
              <w:left w:val="single" w:color="auto" w:sz="4" w:space="0"/>
              <w:bottom w:val="single" w:color="auto" w:sz="4" w:space="0"/>
              <w:right w:val="single" w:color="auto" w:sz="4" w:space="0"/>
            </w:tcBorders>
            <w:tcMar/>
          </w:tcPr>
          <w:p w:rsidRPr="00C850BC" w:rsidR="009C30FB" w:rsidP="00375374" w:rsidRDefault="00DF6CD2" w14:paraId="3AF90B3B" w14:textId="77777777">
            <w:pPr>
              <w:ind w:left="5"/>
              <w:jc w:val="both"/>
              <w:rPr>
                <w:rFonts w:ascii="Baxter Sans Core" w:hAnsi="Baxter Sans Core"/>
              </w:rPr>
            </w:pPr>
            <w:r w:rsidRPr="00C850BC">
              <w:rPr>
                <w:rFonts w:ascii="Baxter Sans Core" w:hAnsi="Baxter Sans Core"/>
                <w:b/>
                <w:color w:val="4365E2"/>
              </w:rPr>
              <w:t>Who is eligible?</w:t>
            </w:r>
            <w:r w:rsidRPr="00C850BC">
              <w:rPr>
                <w:rFonts w:ascii="Baxter Sans Core" w:hAnsi="Baxter Sans Core"/>
                <w:b/>
              </w:rPr>
              <w:t xml:space="preserve"> </w:t>
            </w:r>
          </w:p>
        </w:tc>
        <w:tc>
          <w:tcPr>
            <w:tcW w:w="8219" w:type="dxa"/>
            <w:tcBorders>
              <w:top w:val="single" w:color="auto" w:sz="4" w:space="0"/>
              <w:left w:val="single" w:color="auto" w:sz="4" w:space="0"/>
              <w:bottom w:val="single" w:color="auto" w:sz="4" w:space="0"/>
              <w:right w:val="single" w:color="auto" w:sz="4" w:space="0"/>
            </w:tcBorders>
            <w:tcMar/>
          </w:tcPr>
          <w:p w:rsidR="009C30FB" w:rsidP="00752842" w:rsidRDefault="00DF6CD2" w14:paraId="7F30B1B1" w14:textId="28BE8C35">
            <w:pPr>
              <w:numPr>
                <w:ilvl w:val="0"/>
                <w:numId w:val="5"/>
              </w:numPr>
              <w:spacing w:after="41" w:line="239" w:lineRule="auto"/>
              <w:ind w:right="25" w:hanging="360"/>
              <w:jc w:val="both"/>
              <w:rPr>
                <w:rFonts w:ascii="Baxter Sans Core" w:hAnsi="Baxter Sans Core"/>
              </w:rPr>
            </w:pPr>
            <w:r w:rsidRPr="00C850BC">
              <w:rPr>
                <w:rFonts w:ascii="Baxter Sans Core" w:hAnsi="Baxter Sans Core"/>
              </w:rPr>
              <w:t xml:space="preserve">Have an offer to study a full time, on campus course in the School of </w:t>
            </w:r>
            <w:r w:rsidRPr="00C850BC" w:rsidR="00C123F9">
              <w:rPr>
                <w:rFonts w:ascii="Baxter Sans Core" w:hAnsi="Baxter Sans Core"/>
              </w:rPr>
              <w:t>Life Sciences</w:t>
            </w:r>
            <w:r w:rsidRPr="00C850BC">
              <w:rPr>
                <w:rFonts w:ascii="Baxter Sans Core" w:hAnsi="Baxter Sans Core"/>
              </w:rPr>
              <w:t xml:space="preserve"> at the University of Dundee. This </w:t>
            </w:r>
            <w:r w:rsidRPr="00C850BC" w:rsidR="00E16E5C">
              <w:rPr>
                <w:rFonts w:ascii="Baxter Sans Core" w:hAnsi="Baxter Sans Core"/>
              </w:rPr>
              <w:t>applies only to</w:t>
            </w:r>
            <w:r w:rsidRPr="00C850BC">
              <w:rPr>
                <w:rFonts w:ascii="Baxter Sans Core" w:hAnsi="Baxter Sans Core"/>
              </w:rPr>
              <w:t xml:space="preserve"> </w:t>
            </w:r>
            <w:r w:rsidRPr="00511BEA">
              <w:rPr>
                <w:rFonts w:ascii="Baxter Sans Core" w:hAnsi="Baxter Sans Core"/>
                <w:b/>
                <w:bCs/>
              </w:rPr>
              <w:t>Undergraduate</w:t>
            </w:r>
            <w:r w:rsidRPr="00C850BC">
              <w:rPr>
                <w:rFonts w:ascii="Baxter Sans Core" w:hAnsi="Baxter Sans Core"/>
              </w:rPr>
              <w:t xml:space="preserve"> course</w:t>
            </w:r>
            <w:r w:rsidRPr="00C850BC" w:rsidR="00E16E5C">
              <w:rPr>
                <w:rFonts w:ascii="Baxter Sans Core" w:hAnsi="Baxter Sans Core"/>
              </w:rPr>
              <w:t>s</w:t>
            </w:r>
            <w:r w:rsidRPr="00C850BC">
              <w:rPr>
                <w:rFonts w:ascii="Baxter Sans Core" w:hAnsi="Baxter Sans Core"/>
              </w:rPr>
              <w:t xml:space="preserve">. </w:t>
            </w:r>
          </w:p>
          <w:p w:rsidRPr="00C850BC" w:rsidR="001A3F25" w:rsidP="00752842" w:rsidRDefault="001A3F25" w14:paraId="10289C96" w14:textId="77777777">
            <w:pPr>
              <w:spacing w:after="41" w:line="239" w:lineRule="auto"/>
              <w:ind w:left="360" w:right="25"/>
              <w:jc w:val="both"/>
              <w:rPr>
                <w:rFonts w:ascii="Baxter Sans Core" w:hAnsi="Baxter Sans Core"/>
              </w:rPr>
            </w:pPr>
          </w:p>
          <w:p w:rsidRPr="001A3F25" w:rsidR="001A3F25" w:rsidP="00752842" w:rsidRDefault="00DF6CD2" w14:paraId="10E1D1F0" w14:textId="4AB615CF">
            <w:pPr>
              <w:numPr>
                <w:ilvl w:val="0"/>
                <w:numId w:val="5"/>
              </w:numPr>
              <w:ind w:right="25" w:hanging="360"/>
              <w:jc w:val="both"/>
              <w:rPr>
                <w:rFonts w:ascii="Baxter Sans Core" w:hAnsi="Baxter Sans Core"/>
              </w:rPr>
            </w:pPr>
            <w:r w:rsidRPr="00C850BC">
              <w:rPr>
                <w:rFonts w:ascii="Baxter Sans Core" w:hAnsi="Baxter Sans Core"/>
              </w:rPr>
              <w:t xml:space="preserve">Have International Fee status, as verified by the University of Dundee. </w:t>
            </w:r>
          </w:p>
          <w:p w:rsidRPr="00C850BC" w:rsidR="001A3F25" w:rsidP="00752842" w:rsidRDefault="001A3F25" w14:paraId="034533D3" w14:textId="77777777">
            <w:pPr>
              <w:ind w:left="360" w:right="25"/>
              <w:jc w:val="both"/>
              <w:rPr>
                <w:rFonts w:ascii="Baxter Sans Core" w:hAnsi="Baxter Sans Core"/>
              </w:rPr>
            </w:pPr>
          </w:p>
          <w:p w:rsidR="009C30FB" w:rsidP="00752842" w:rsidRDefault="00DF6CD2" w14:paraId="36A67DD5" w14:textId="12CDB975">
            <w:pPr>
              <w:numPr>
                <w:ilvl w:val="0"/>
                <w:numId w:val="5"/>
              </w:numPr>
              <w:spacing w:after="39" w:line="242" w:lineRule="auto"/>
              <w:ind w:right="25" w:hanging="360"/>
              <w:jc w:val="both"/>
              <w:rPr>
                <w:rFonts w:ascii="Baxter Sans Core" w:hAnsi="Baxter Sans Core"/>
              </w:rPr>
            </w:pPr>
            <w:r w:rsidRPr="00C850BC">
              <w:rPr>
                <w:rFonts w:ascii="Baxter Sans Core" w:hAnsi="Baxter Sans Core"/>
              </w:rPr>
              <w:t>Enrolled on their course in September 202</w:t>
            </w:r>
            <w:r w:rsidR="001A3F25">
              <w:rPr>
                <w:rFonts w:ascii="Baxter Sans Core" w:hAnsi="Baxter Sans Core"/>
              </w:rPr>
              <w:t>4</w:t>
            </w:r>
            <w:r w:rsidR="00741EFD">
              <w:rPr>
                <w:rFonts w:ascii="Baxter Sans Core" w:hAnsi="Baxter Sans Core"/>
              </w:rPr>
              <w:t>.</w:t>
            </w:r>
          </w:p>
          <w:p w:rsidRPr="00C850BC" w:rsidR="001A3F25" w:rsidP="00752842" w:rsidRDefault="001A3F25" w14:paraId="3FD823B4" w14:textId="77777777">
            <w:pPr>
              <w:spacing w:after="39" w:line="242" w:lineRule="auto"/>
              <w:ind w:left="360" w:right="25"/>
              <w:jc w:val="both"/>
              <w:rPr>
                <w:rFonts w:ascii="Baxter Sans Core" w:hAnsi="Baxter Sans Core"/>
              </w:rPr>
            </w:pPr>
          </w:p>
          <w:p w:rsidRPr="001A3F25" w:rsidR="001A3F25" w:rsidP="00752842" w:rsidRDefault="00DF6CD2" w14:paraId="6513C5CB" w14:textId="25B0C42C">
            <w:pPr>
              <w:numPr>
                <w:ilvl w:val="0"/>
                <w:numId w:val="5"/>
              </w:numPr>
              <w:ind w:right="25" w:hanging="360"/>
              <w:jc w:val="both"/>
              <w:rPr>
                <w:rFonts w:ascii="Baxter Sans Core" w:hAnsi="Baxter Sans Core"/>
              </w:rPr>
            </w:pPr>
            <w:r w:rsidRPr="00C850BC">
              <w:rPr>
                <w:rFonts w:ascii="Baxter Sans Core" w:hAnsi="Baxter Sans Core"/>
              </w:rPr>
              <w:t xml:space="preserve">International College Dundee applicants are also eligible for this scholarship. The scholarship will be applied upon the applicant’s entrant year to the University of Dundee. </w:t>
            </w:r>
          </w:p>
          <w:p w:rsidRPr="00C850BC" w:rsidR="001A3F25" w:rsidP="00752842" w:rsidRDefault="001A3F25" w14:paraId="2C3630B1" w14:textId="77777777">
            <w:pPr>
              <w:ind w:left="360" w:right="25"/>
              <w:jc w:val="both"/>
              <w:rPr>
                <w:rFonts w:ascii="Baxter Sans Core" w:hAnsi="Baxter Sans Core"/>
              </w:rPr>
            </w:pPr>
          </w:p>
        </w:tc>
      </w:tr>
      <w:tr w:rsidRPr="00C850BC" w:rsidR="009C30FB" w:rsidTr="2FED8AA9" w14:paraId="7400D148" w14:textId="77777777">
        <w:trPr>
          <w:trHeight w:val="27"/>
        </w:trPr>
        <w:tc>
          <w:tcPr>
            <w:tcW w:w="2266" w:type="dxa"/>
            <w:tcBorders>
              <w:top w:val="single" w:color="auto" w:sz="4" w:space="0"/>
              <w:left w:val="single" w:color="auto" w:sz="4" w:space="0"/>
              <w:bottom w:val="single" w:color="auto" w:sz="4" w:space="0"/>
              <w:right w:val="single" w:color="auto" w:sz="4" w:space="0"/>
            </w:tcBorders>
            <w:tcMar/>
          </w:tcPr>
          <w:p w:rsidRPr="00C850BC" w:rsidR="009C30FB" w:rsidP="00375374" w:rsidRDefault="00DF6CD2" w14:paraId="5759D53C" w14:textId="77777777">
            <w:pPr>
              <w:ind w:left="5"/>
              <w:jc w:val="both"/>
              <w:rPr>
                <w:rFonts w:ascii="Baxter Sans Core" w:hAnsi="Baxter Sans Core"/>
              </w:rPr>
            </w:pPr>
            <w:r w:rsidRPr="00C850BC">
              <w:rPr>
                <w:rFonts w:ascii="Baxter Sans Core" w:hAnsi="Baxter Sans Core"/>
                <w:b/>
                <w:color w:val="4365E2"/>
              </w:rPr>
              <w:t>Award Information</w:t>
            </w:r>
            <w:r w:rsidRPr="00C850BC">
              <w:rPr>
                <w:rFonts w:ascii="Baxter Sans Core" w:hAnsi="Baxter Sans Core"/>
                <w:b/>
              </w:rPr>
              <w:t xml:space="preserve"> </w:t>
            </w:r>
          </w:p>
        </w:tc>
        <w:tc>
          <w:tcPr>
            <w:tcW w:w="8219" w:type="dxa"/>
            <w:tcBorders>
              <w:top w:val="single" w:color="auto" w:sz="4" w:space="0"/>
              <w:left w:val="single" w:color="auto" w:sz="4" w:space="0"/>
              <w:bottom w:val="single" w:color="auto" w:sz="4" w:space="0"/>
              <w:right w:val="single" w:color="auto" w:sz="4" w:space="0"/>
            </w:tcBorders>
            <w:tcMar/>
          </w:tcPr>
          <w:p w:rsidR="009C30FB" w:rsidP="00752842" w:rsidRDefault="00DF6CD2" w14:paraId="2C563963" w14:textId="77777777">
            <w:pPr>
              <w:numPr>
                <w:ilvl w:val="0"/>
                <w:numId w:val="6"/>
              </w:numPr>
              <w:spacing w:after="38" w:line="242" w:lineRule="auto"/>
              <w:ind w:hanging="360"/>
              <w:jc w:val="both"/>
              <w:rPr>
                <w:rFonts w:ascii="Baxter Sans Core" w:hAnsi="Baxter Sans Core"/>
              </w:rPr>
            </w:pPr>
            <w:r w:rsidRPr="00C850BC">
              <w:rPr>
                <w:rFonts w:ascii="Baxter Sans Core" w:hAnsi="Baxter Sans Core"/>
              </w:rPr>
              <w:t xml:space="preserve">The value of this scholarship is £2,000 per year of study and is awarded as a tuition fee waiver. </w:t>
            </w:r>
          </w:p>
          <w:p w:rsidRPr="00C850BC" w:rsidR="001A3F25" w:rsidP="00752842" w:rsidRDefault="001A3F25" w14:paraId="274FAF09" w14:textId="77777777">
            <w:pPr>
              <w:spacing w:after="38" w:line="242" w:lineRule="auto"/>
              <w:ind w:left="360"/>
              <w:jc w:val="both"/>
              <w:rPr>
                <w:rFonts w:ascii="Baxter Sans Core" w:hAnsi="Baxter Sans Core"/>
              </w:rPr>
            </w:pPr>
          </w:p>
          <w:p w:rsidRPr="001A3F25" w:rsidR="001A3F25" w:rsidP="00752842" w:rsidRDefault="00DF6CD2" w14:paraId="27DC67D9" w14:textId="76AAB528">
            <w:pPr>
              <w:numPr>
                <w:ilvl w:val="0"/>
                <w:numId w:val="6"/>
              </w:numPr>
              <w:ind w:hanging="360"/>
              <w:jc w:val="both"/>
              <w:rPr>
                <w:rFonts w:ascii="Baxter Sans Core" w:hAnsi="Baxter Sans Core"/>
              </w:rPr>
            </w:pPr>
            <w:r w:rsidRPr="00C850BC">
              <w:rPr>
                <w:rFonts w:ascii="Baxter Sans Core" w:hAnsi="Baxter Sans Core"/>
              </w:rPr>
              <w:t xml:space="preserve">All scholarship awards are offered on an unconditional basis. </w:t>
            </w:r>
          </w:p>
          <w:p w:rsidRPr="00C850BC" w:rsidR="001A3F25" w:rsidP="00752842" w:rsidRDefault="001A3F25" w14:paraId="49F71B3A" w14:textId="77777777">
            <w:pPr>
              <w:ind w:left="360"/>
              <w:jc w:val="both"/>
              <w:rPr>
                <w:rFonts w:ascii="Baxter Sans Core" w:hAnsi="Baxter Sans Core"/>
              </w:rPr>
            </w:pPr>
          </w:p>
          <w:p w:rsidRPr="009F784C" w:rsidR="009F784C" w:rsidP="00752842" w:rsidRDefault="00DF6CD2" w14:paraId="682693DF" w14:textId="10466C2C">
            <w:pPr>
              <w:numPr>
                <w:ilvl w:val="0"/>
                <w:numId w:val="6"/>
              </w:numPr>
              <w:spacing w:after="39" w:line="242" w:lineRule="auto"/>
              <w:ind w:hanging="360"/>
              <w:jc w:val="both"/>
              <w:rPr>
                <w:rFonts w:ascii="Baxter Sans Core" w:hAnsi="Baxter Sans Core"/>
              </w:rPr>
            </w:pPr>
            <w:r w:rsidRPr="00C850BC">
              <w:rPr>
                <w:rFonts w:ascii="Baxter Sans Core" w:hAnsi="Baxter Sans Core"/>
              </w:rPr>
              <w:t xml:space="preserve">All scholarship awards are deducted from tuition fees and are not paid directly to any applicant. </w:t>
            </w:r>
          </w:p>
          <w:p w:rsidRPr="00C850BC" w:rsidR="009F784C" w:rsidP="00752842" w:rsidRDefault="009F784C" w14:paraId="7B96ED9D" w14:textId="77777777">
            <w:pPr>
              <w:spacing w:after="39" w:line="242" w:lineRule="auto"/>
              <w:ind w:left="360"/>
              <w:jc w:val="both"/>
              <w:rPr>
                <w:rFonts w:ascii="Baxter Sans Core" w:hAnsi="Baxter Sans Core"/>
              </w:rPr>
            </w:pPr>
          </w:p>
          <w:p w:rsidR="00741EFD" w:rsidP="00752842" w:rsidRDefault="00DF6CD2" w14:paraId="5C641806" w14:textId="77777777">
            <w:pPr>
              <w:numPr>
                <w:ilvl w:val="0"/>
                <w:numId w:val="6"/>
              </w:numPr>
              <w:spacing w:after="39" w:line="242" w:lineRule="auto"/>
              <w:ind w:hanging="360"/>
              <w:jc w:val="both"/>
              <w:rPr>
                <w:rFonts w:ascii="Baxter Sans Core" w:hAnsi="Baxter Sans Core"/>
              </w:rPr>
            </w:pPr>
            <w:r w:rsidRPr="00C850BC">
              <w:rPr>
                <w:rFonts w:ascii="Baxter Sans Core" w:hAnsi="Baxter Sans Core"/>
              </w:rPr>
              <w:t xml:space="preserve">If an applicant has an external scholarship which covers the full tuition fee, then they are no longer eligible to receive a Discover Life Sciences at Dundee Scholarship. </w:t>
            </w:r>
          </w:p>
          <w:p w:rsidR="00741EFD" w:rsidP="00752842" w:rsidRDefault="00741EFD" w14:paraId="06FA9565" w14:textId="77777777">
            <w:pPr>
              <w:pStyle w:val="ListParagraph"/>
              <w:jc w:val="both"/>
              <w:rPr>
                <w:rFonts w:ascii="Baxter Sans Core" w:hAnsi="Baxter Sans Core"/>
              </w:rPr>
            </w:pPr>
          </w:p>
          <w:p w:rsidRPr="00741EFD" w:rsidR="00741EFD" w:rsidP="00752842" w:rsidRDefault="00DF6CD2" w14:paraId="73AAA174" w14:textId="0E9099AC">
            <w:pPr>
              <w:numPr>
                <w:ilvl w:val="0"/>
                <w:numId w:val="6"/>
              </w:numPr>
              <w:spacing w:after="39" w:line="242" w:lineRule="auto"/>
              <w:ind w:hanging="360"/>
              <w:jc w:val="both"/>
              <w:rPr>
                <w:rFonts w:ascii="Baxter Sans Core" w:hAnsi="Baxter Sans Core"/>
              </w:rPr>
            </w:pPr>
            <w:r w:rsidRPr="00741EFD">
              <w:rPr>
                <w:rFonts w:ascii="Baxter Sans Core" w:hAnsi="Baxter Sans Core"/>
              </w:rPr>
              <w:t xml:space="preserve">The student does not have to re-apply annually for the scholarship. </w:t>
            </w:r>
          </w:p>
        </w:tc>
      </w:tr>
      <w:tr w:rsidRPr="00C850BC" w:rsidR="009C30FB" w:rsidTr="2FED8AA9" w14:paraId="0A47B986" w14:textId="77777777">
        <w:trPr>
          <w:trHeight w:val="13688"/>
        </w:trPr>
        <w:tc>
          <w:tcPr>
            <w:tcW w:w="2266" w:type="dxa"/>
            <w:tcBorders>
              <w:top w:val="single" w:color="auto" w:sz="4" w:space="0"/>
              <w:left w:val="single" w:color="auto" w:sz="4" w:space="0"/>
              <w:bottom w:val="single" w:color="auto" w:sz="4" w:space="0"/>
              <w:right w:val="single" w:color="auto" w:sz="4" w:space="0"/>
            </w:tcBorders>
            <w:tcMar/>
          </w:tcPr>
          <w:p w:rsidRPr="00C850BC" w:rsidR="009C30FB" w:rsidP="00375374" w:rsidRDefault="00DF6CD2" w14:paraId="5E69B0EA" w14:textId="77777777">
            <w:pPr>
              <w:spacing w:after="40"/>
              <w:jc w:val="both"/>
              <w:rPr>
                <w:rFonts w:ascii="Baxter Sans Core" w:hAnsi="Baxter Sans Core"/>
                <w:b/>
                <w:color w:val="4365E2"/>
              </w:rPr>
            </w:pPr>
            <w:r w:rsidRPr="00C850BC">
              <w:rPr>
                <w:rFonts w:ascii="Baxter Sans Core" w:hAnsi="Baxter Sans Core"/>
                <w:b/>
                <w:color w:val="4365E2"/>
              </w:rPr>
              <w:lastRenderedPageBreak/>
              <w:t xml:space="preserve">Key Information </w:t>
            </w:r>
          </w:p>
          <w:p w:rsidRPr="00C850BC" w:rsidR="009C30FB" w:rsidP="00375374" w:rsidRDefault="009C30FB" w14:paraId="17B4E14B" w14:textId="0232FA71">
            <w:pPr>
              <w:spacing w:after="40"/>
              <w:ind w:left="360"/>
              <w:jc w:val="both"/>
              <w:rPr>
                <w:rFonts w:ascii="Baxter Sans Core" w:hAnsi="Baxter Sans Core"/>
              </w:rPr>
            </w:pPr>
          </w:p>
        </w:tc>
        <w:tc>
          <w:tcPr>
            <w:tcW w:w="8219" w:type="dxa"/>
            <w:tcBorders>
              <w:top w:val="single" w:color="auto" w:sz="4" w:space="0"/>
              <w:left w:val="single" w:color="auto" w:sz="4" w:space="0"/>
              <w:bottom w:val="single" w:color="auto" w:sz="4" w:space="0"/>
              <w:right w:val="single" w:color="auto" w:sz="4" w:space="0"/>
            </w:tcBorders>
            <w:tcMar/>
          </w:tcPr>
          <w:p w:rsidRPr="00C850BC" w:rsidR="009F784C" w:rsidP="2FED8AA9" w:rsidRDefault="009F784C" w14:paraId="09B4D047" w14:textId="22505675">
            <w:pPr>
              <w:numPr>
                <w:ilvl w:val="0"/>
                <w:numId w:val="7"/>
              </w:numPr>
              <w:spacing w:after="40"/>
              <w:ind w:left="459" w:hanging="425"/>
              <w:jc w:val="both"/>
              <w:rPr>
                <w:rFonts w:ascii="Baxter Sans Core" w:hAnsi="Baxter Sans Core"/>
              </w:rPr>
            </w:pPr>
            <w:r w:rsidRPr="2FED8AA9" w:rsidR="00DF6CD2">
              <w:rPr>
                <w:rFonts w:ascii="Baxter Sans Core" w:hAnsi="Baxter Sans Core"/>
              </w:rPr>
              <w:t xml:space="preserve">Where eligible, this scholarship can be combined with one of the following scholarships:   </w:t>
            </w:r>
            <w:r w:rsidRPr="2FED8AA9" w:rsidR="0074314E">
              <w:rPr>
                <w:rFonts w:ascii="Baxter Sans Core" w:hAnsi="Baxter Sans Core"/>
              </w:rPr>
              <w:t>G</w:t>
            </w:r>
            <w:r w:rsidRPr="2FED8AA9" w:rsidR="00DF6CD2">
              <w:rPr>
                <w:rFonts w:ascii="Baxter Sans Core" w:hAnsi="Baxter Sans Core"/>
              </w:rPr>
              <w:t>lobal Excellence</w:t>
            </w:r>
            <w:r w:rsidRPr="2FED8AA9" w:rsidR="0074314E">
              <w:rPr>
                <w:rFonts w:ascii="Baxter Sans Core" w:hAnsi="Baxter Sans Core"/>
              </w:rPr>
              <w:t>;</w:t>
            </w:r>
            <w:r w:rsidRPr="2FED8AA9" w:rsidR="00DF6CD2">
              <w:rPr>
                <w:rFonts w:ascii="Baxter Sans Core" w:hAnsi="Baxter Sans Core"/>
              </w:rPr>
              <w:t xml:space="preserve"> or Global Citizenship</w:t>
            </w:r>
            <w:r w:rsidRPr="2FED8AA9" w:rsidR="0074314E">
              <w:rPr>
                <w:rFonts w:ascii="Baxter Sans Core" w:hAnsi="Baxter Sans Core"/>
              </w:rPr>
              <w:t xml:space="preserve">; </w:t>
            </w:r>
            <w:r w:rsidRPr="2FED8AA9" w:rsidR="00DF6CD2">
              <w:rPr>
                <w:rFonts w:ascii="Baxter Sans Core" w:hAnsi="Baxter Sans Core"/>
              </w:rPr>
              <w:t xml:space="preserve">or Vice-Chancellor's Scholarships (one region </w:t>
            </w:r>
            <w:r w:rsidRPr="2FED8AA9" w:rsidR="00155083">
              <w:rPr>
                <w:rFonts w:ascii="Baxter Sans Core" w:hAnsi="Baxter Sans Core"/>
              </w:rPr>
              <w:t>o</w:t>
            </w:r>
            <w:r w:rsidRPr="2FED8AA9" w:rsidR="00DF6CD2">
              <w:rPr>
                <w:rFonts w:ascii="Baxter Sans Core" w:hAnsi="Baxter Sans Core"/>
              </w:rPr>
              <w:t xml:space="preserve">nly)  </w:t>
            </w:r>
          </w:p>
          <w:p w:rsidRPr="00C850BC" w:rsidR="009F784C" w:rsidP="2FED8AA9" w:rsidRDefault="009F784C" w14:paraId="37B52036" w14:textId="77777777" w14:noSpellErr="1">
            <w:pPr>
              <w:spacing w:after="40"/>
              <w:ind w:left="0" w:hanging="0"/>
              <w:jc w:val="both"/>
              <w:rPr>
                <w:rFonts w:ascii="Baxter Sans Core" w:hAnsi="Baxter Sans Core"/>
              </w:rPr>
            </w:pPr>
          </w:p>
          <w:p w:rsidR="009F784C" w:rsidP="00752842" w:rsidRDefault="00DF6CD2" w14:paraId="6202D66F" w14:textId="77777777">
            <w:pPr>
              <w:numPr>
                <w:ilvl w:val="0"/>
                <w:numId w:val="7"/>
              </w:numPr>
              <w:spacing w:after="40"/>
              <w:ind w:left="459" w:hanging="425"/>
              <w:jc w:val="both"/>
              <w:rPr>
                <w:rFonts w:ascii="Baxter Sans Core" w:hAnsi="Baxter Sans Core"/>
              </w:rPr>
            </w:pPr>
            <w:r w:rsidRPr="2FED8AA9" w:rsidR="00DF6CD2">
              <w:rPr>
                <w:rFonts w:ascii="Baxter Sans Core" w:hAnsi="Baxter Sans Core"/>
              </w:rPr>
              <w:t>All communication with the student will be via email, and to their @dundee.ac.uk email address.</w:t>
            </w:r>
          </w:p>
          <w:p w:rsidRPr="00C850BC" w:rsidR="009C30FB" w:rsidP="00752842" w:rsidRDefault="009C30FB" w14:paraId="4B5A65DA" w14:textId="1CDA0EEA">
            <w:pPr>
              <w:spacing w:after="40"/>
              <w:ind w:left="459" w:hanging="425"/>
              <w:jc w:val="both"/>
              <w:rPr>
                <w:rFonts w:ascii="Baxter Sans Core" w:hAnsi="Baxter Sans Core"/>
              </w:rPr>
            </w:pPr>
          </w:p>
          <w:p w:rsidRPr="009F784C" w:rsidR="009F784C" w:rsidP="00752842" w:rsidRDefault="00DF6CD2" w14:paraId="3E01BA72" w14:textId="70759F72">
            <w:pPr>
              <w:numPr>
                <w:ilvl w:val="0"/>
                <w:numId w:val="7"/>
              </w:numPr>
              <w:spacing w:after="40"/>
              <w:ind w:left="459" w:hanging="425"/>
              <w:jc w:val="both"/>
              <w:rPr>
                <w:rFonts w:ascii="Baxter Sans Core" w:hAnsi="Baxter Sans Core"/>
              </w:rPr>
            </w:pPr>
            <w:r w:rsidRPr="2FED8AA9" w:rsidR="00DF6CD2">
              <w:rPr>
                <w:rFonts w:ascii="Baxter Sans Core" w:hAnsi="Baxter Sans Core"/>
              </w:rPr>
              <w:t xml:space="preserve">If an applicant chooses to defer their entry within the same academic year, we may be able to defer the scholarship award. However, this may not apply if the applicant chooses to defer to the following academic year. We will confirm with all applicants who defer, the status of their scholarship.  </w:t>
            </w:r>
          </w:p>
          <w:p w:rsidRPr="00C850BC" w:rsidR="009F784C" w:rsidP="00752842" w:rsidRDefault="009F784C" w14:paraId="0F3A82F6" w14:textId="77777777">
            <w:pPr>
              <w:spacing w:after="40"/>
              <w:ind w:left="459" w:hanging="425"/>
              <w:jc w:val="both"/>
              <w:rPr>
                <w:rFonts w:ascii="Baxter Sans Core" w:hAnsi="Baxter Sans Core"/>
              </w:rPr>
            </w:pPr>
          </w:p>
          <w:p w:rsidRPr="009F784C" w:rsidR="009F784C" w:rsidP="00752842" w:rsidRDefault="00DF6CD2" w14:paraId="2EEB42D0" w14:textId="0E286F30">
            <w:pPr>
              <w:numPr>
                <w:ilvl w:val="0"/>
                <w:numId w:val="7"/>
              </w:numPr>
              <w:spacing w:after="40"/>
              <w:ind w:left="459" w:hanging="425"/>
              <w:jc w:val="both"/>
              <w:rPr>
                <w:rFonts w:ascii="Baxter Sans Core" w:hAnsi="Baxter Sans Core"/>
              </w:rPr>
            </w:pPr>
            <w:r w:rsidRPr="2FED8AA9" w:rsidR="00DF6CD2">
              <w:rPr>
                <w:rFonts w:ascii="Baxter Sans Core" w:hAnsi="Baxter Sans Core"/>
              </w:rPr>
              <w:t xml:space="preserve">If an applicant has paid their tuition fees in full prior to being awarded a </w:t>
            </w:r>
            <w:r w:rsidRPr="2FED8AA9" w:rsidR="006B3836">
              <w:rPr>
                <w:rFonts w:ascii="Baxter Sans Core" w:hAnsi="Baxter Sans Core"/>
              </w:rPr>
              <w:t>s</w:t>
            </w:r>
            <w:r w:rsidRPr="2FED8AA9" w:rsidR="00DF6CD2">
              <w:rPr>
                <w:rFonts w:ascii="Baxter Sans Core" w:hAnsi="Baxter Sans Core"/>
              </w:rPr>
              <w:t xml:space="preserve">cholarship, the value of the scholarship will be refunded to </w:t>
            </w:r>
            <w:r w:rsidRPr="2FED8AA9" w:rsidR="00AA07C2">
              <w:rPr>
                <w:rFonts w:ascii="Baxter Sans Core" w:hAnsi="Baxter Sans Core"/>
              </w:rPr>
              <w:t xml:space="preserve">the applicant after they have enrolled at the University of Dundee. Alternatively, this can be transferred to the University accommodation account balance (if applicable). </w:t>
            </w:r>
          </w:p>
          <w:p w:rsidRPr="00C850BC" w:rsidR="009F784C" w:rsidP="00752842" w:rsidRDefault="009F784C" w14:paraId="2F857BCD" w14:textId="77777777">
            <w:pPr>
              <w:spacing w:after="40"/>
              <w:ind w:left="459" w:hanging="425"/>
              <w:jc w:val="both"/>
              <w:rPr>
                <w:rFonts w:ascii="Baxter Sans Core" w:hAnsi="Baxter Sans Core"/>
              </w:rPr>
            </w:pPr>
          </w:p>
          <w:p w:rsidRPr="009F784C" w:rsidR="009F784C" w:rsidP="00752842" w:rsidRDefault="00AA07C2" w14:paraId="655D437C" w14:textId="0B3EB324">
            <w:pPr>
              <w:numPr>
                <w:ilvl w:val="0"/>
                <w:numId w:val="7"/>
              </w:numPr>
              <w:spacing w:after="40"/>
              <w:ind w:left="459" w:hanging="425"/>
              <w:jc w:val="both"/>
              <w:rPr>
                <w:rFonts w:ascii="Baxter Sans Core" w:hAnsi="Baxter Sans Core"/>
              </w:rPr>
            </w:pPr>
            <w:r w:rsidRPr="2FED8AA9" w:rsidR="00AA07C2">
              <w:rPr>
                <w:rFonts w:ascii="Baxter Sans Core" w:hAnsi="Baxter Sans Core"/>
              </w:rPr>
              <w:t>The scholarship is only awarded in the years in which full fees (£</w:t>
            </w:r>
            <w:r w:rsidRPr="2FED8AA9" w:rsidR="00D07554">
              <w:rPr>
                <w:rFonts w:ascii="Baxter Sans Core" w:hAnsi="Baxter Sans Core"/>
              </w:rPr>
              <w:t>20,600</w:t>
            </w:r>
            <w:r w:rsidRPr="2FED8AA9" w:rsidR="00AA07C2">
              <w:rPr>
                <w:rFonts w:ascii="Baxter Sans Core" w:hAnsi="Baxter Sans Core"/>
              </w:rPr>
              <w:t xml:space="preserve"> and above) are paid to the University.</w:t>
            </w:r>
          </w:p>
          <w:p w:rsidRPr="00C850BC" w:rsidR="00AA07C2" w:rsidP="00752842" w:rsidRDefault="00AA07C2" w14:paraId="596FDACE" w14:textId="747AF096">
            <w:pPr>
              <w:spacing w:after="40"/>
              <w:ind w:left="459" w:hanging="425"/>
              <w:jc w:val="both"/>
              <w:rPr>
                <w:rFonts w:ascii="Baxter Sans Core" w:hAnsi="Baxter Sans Core"/>
              </w:rPr>
            </w:pPr>
          </w:p>
          <w:p w:rsidRPr="00D07554" w:rsidR="00D07554" w:rsidP="00752842" w:rsidRDefault="00AA07C2" w14:paraId="5B906966" w14:textId="6645430F">
            <w:pPr>
              <w:numPr>
                <w:ilvl w:val="0"/>
                <w:numId w:val="7"/>
              </w:numPr>
              <w:spacing w:after="40"/>
              <w:ind w:left="459" w:hanging="425"/>
              <w:jc w:val="both"/>
              <w:rPr>
                <w:rFonts w:ascii="Baxter Sans Core" w:hAnsi="Baxter Sans Core"/>
              </w:rPr>
            </w:pPr>
            <w:r w:rsidRPr="2FED8AA9" w:rsidR="00AA07C2">
              <w:rPr>
                <w:rFonts w:ascii="Baxter Sans Core" w:hAnsi="Baxter Sans Core"/>
              </w:rPr>
              <w:t xml:space="preserve">If an applicant has applied to study a </w:t>
            </w:r>
            <w:proofErr w:type="gramStart"/>
            <w:r w:rsidRPr="2FED8AA9" w:rsidR="00AA07C2">
              <w:rPr>
                <w:rFonts w:ascii="Baxter Sans Core" w:hAnsi="Baxter Sans Core"/>
              </w:rPr>
              <w:t>3.5 year</w:t>
            </w:r>
            <w:proofErr w:type="gramEnd"/>
            <w:r w:rsidRPr="2FED8AA9" w:rsidR="00AA07C2">
              <w:rPr>
                <w:rFonts w:ascii="Baxter Sans Core" w:hAnsi="Baxter Sans Core"/>
              </w:rPr>
              <w:t xml:space="preserve"> course (January start date), they will begin to receive the scholarship in year two onwards. </w:t>
            </w:r>
          </w:p>
          <w:p w:rsidRPr="00C850BC" w:rsidR="00D07554" w:rsidP="00752842" w:rsidRDefault="00D07554" w14:paraId="4D80A6EB" w14:textId="77777777">
            <w:pPr>
              <w:spacing w:after="40"/>
              <w:ind w:left="459" w:hanging="425"/>
              <w:jc w:val="both"/>
              <w:rPr>
                <w:rFonts w:ascii="Baxter Sans Core" w:hAnsi="Baxter Sans Core"/>
              </w:rPr>
            </w:pPr>
          </w:p>
          <w:p w:rsidRPr="00D07554" w:rsidR="00D07554" w:rsidP="00752842" w:rsidRDefault="00AA07C2" w14:paraId="05E8BBCB" w14:textId="7AF20257">
            <w:pPr>
              <w:numPr>
                <w:ilvl w:val="0"/>
                <w:numId w:val="7"/>
              </w:numPr>
              <w:spacing w:after="40"/>
              <w:ind w:left="459" w:hanging="425"/>
              <w:jc w:val="both"/>
              <w:rPr>
                <w:rFonts w:ascii="Baxter Sans Core" w:hAnsi="Baxter Sans Core"/>
              </w:rPr>
            </w:pPr>
            <w:r w:rsidRPr="2FED8AA9" w:rsidR="00AA07C2">
              <w:rPr>
                <w:rFonts w:ascii="Baxter Sans Core" w:hAnsi="Baxter Sans Core"/>
              </w:rPr>
              <w:t xml:space="preserve">If a student re-sits a year of study at the University, the scholarship award will not apply, however will commence once they have progressed to the next level. </w:t>
            </w:r>
          </w:p>
          <w:p w:rsidRPr="00C850BC" w:rsidR="00D07554" w:rsidP="00752842" w:rsidRDefault="00D07554" w14:paraId="1D920579" w14:textId="77777777">
            <w:pPr>
              <w:spacing w:after="40"/>
              <w:ind w:left="459" w:hanging="425"/>
              <w:jc w:val="both"/>
              <w:rPr>
                <w:rFonts w:ascii="Baxter Sans Core" w:hAnsi="Baxter Sans Core"/>
              </w:rPr>
            </w:pPr>
          </w:p>
          <w:p w:rsidRPr="00D07554" w:rsidR="00D07554" w:rsidP="00752842" w:rsidRDefault="00AA07C2" w14:paraId="2FF3EF55" w14:textId="6416BA6F">
            <w:pPr>
              <w:numPr>
                <w:ilvl w:val="0"/>
                <w:numId w:val="7"/>
              </w:numPr>
              <w:spacing w:after="40"/>
              <w:ind w:left="459" w:hanging="425"/>
              <w:jc w:val="both"/>
              <w:rPr>
                <w:rFonts w:ascii="Baxter Sans Core" w:hAnsi="Baxter Sans Core"/>
              </w:rPr>
            </w:pPr>
            <w:r w:rsidRPr="2FED8AA9" w:rsidR="00AA07C2">
              <w:rPr>
                <w:rFonts w:ascii="Baxter Sans Core" w:hAnsi="Baxter Sans Core"/>
              </w:rPr>
              <w:t xml:space="preserve">Applicants from non-graduating years at the University are not eligible for the Scholarship. </w:t>
            </w:r>
          </w:p>
          <w:p w:rsidRPr="00C850BC" w:rsidR="00D07554" w:rsidP="00752842" w:rsidRDefault="00D07554" w14:paraId="016C39D9" w14:textId="77777777">
            <w:pPr>
              <w:spacing w:after="40"/>
              <w:ind w:left="459" w:hanging="425"/>
              <w:jc w:val="both"/>
              <w:rPr>
                <w:rFonts w:ascii="Baxter Sans Core" w:hAnsi="Baxter Sans Core"/>
              </w:rPr>
            </w:pPr>
          </w:p>
          <w:p w:rsidRPr="00D07554" w:rsidR="00D07554" w:rsidP="00752842" w:rsidRDefault="00AA07C2" w14:paraId="0A36D9F7" w14:textId="737D00DC">
            <w:pPr>
              <w:numPr>
                <w:ilvl w:val="0"/>
                <w:numId w:val="7"/>
              </w:numPr>
              <w:spacing w:after="40"/>
              <w:ind w:left="459" w:hanging="425"/>
              <w:jc w:val="both"/>
              <w:rPr>
                <w:rFonts w:ascii="Baxter Sans Core" w:hAnsi="Baxter Sans Core"/>
              </w:rPr>
            </w:pPr>
            <w:r w:rsidRPr="2FED8AA9" w:rsidR="00AA07C2">
              <w:rPr>
                <w:rFonts w:ascii="Baxter Sans Core" w:hAnsi="Baxter Sans Core"/>
              </w:rPr>
              <w:t>The University of Dundee will not back date any awards and all awards made will be current and apply to the applicant in the 2024</w:t>
            </w:r>
            <w:r w:rsidRPr="2FED8AA9" w:rsidR="00AA07C2">
              <w:rPr>
                <w:rFonts w:ascii="Baxter Sans Core" w:hAnsi="Baxter Sans Core"/>
              </w:rPr>
              <w:t>/202</w:t>
            </w:r>
            <w:r w:rsidRPr="2FED8AA9" w:rsidR="37D87D15">
              <w:rPr>
                <w:rFonts w:ascii="Baxter Sans Core" w:hAnsi="Baxter Sans Core"/>
              </w:rPr>
              <w:t>5</w:t>
            </w:r>
            <w:r w:rsidRPr="2FED8AA9" w:rsidR="00AA07C2">
              <w:rPr>
                <w:rFonts w:ascii="Baxter Sans Core" w:hAnsi="Baxter Sans Core"/>
              </w:rPr>
              <w:t xml:space="preserve"> academic year. The University of Dundee will not make awards to students who have already enrolled at the University onto their course of study. </w:t>
            </w:r>
          </w:p>
          <w:p w:rsidRPr="00C850BC" w:rsidR="00D07554" w:rsidP="00752842" w:rsidRDefault="00D07554" w14:paraId="7D463A48" w14:textId="77777777">
            <w:pPr>
              <w:spacing w:after="40"/>
              <w:ind w:left="459" w:hanging="425"/>
              <w:jc w:val="both"/>
              <w:rPr>
                <w:rFonts w:ascii="Baxter Sans Core" w:hAnsi="Baxter Sans Core"/>
              </w:rPr>
            </w:pPr>
          </w:p>
          <w:p w:rsidRPr="00D07554" w:rsidR="00D07554" w:rsidP="00752842" w:rsidRDefault="00AA07C2" w14:paraId="6EEB7E48" w14:textId="3AA5E490">
            <w:pPr>
              <w:numPr>
                <w:ilvl w:val="0"/>
                <w:numId w:val="7"/>
              </w:numPr>
              <w:spacing w:after="40"/>
              <w:ind w:left="459" w:hanging="425"/>
              <w:jc w:val="both"/>
              <w:rPr>
                <w:rFonts w:ascii="Baxter Sans Core" w:hAnsi="Baxter Sans Core"/>
              </w:rPr>
            </w:pPr>
            <w:r w:rsidRPr="2FED8AA9" w:rsidR="00AA07C2">
              <w:rPr>
                <w:rFonts w:ascii="Baxter Sans Core" w:hAnsi="Baxter Sans Core"/>
              </w:rPr>
              <w:t xml:space="preserve">If an applicant withdraws from their course of study, the University Fees department will be in contact regarding payment of fees and scholarship balance. </w:t>
            </w:r>
          </w:p>
          <w:p w:rsidRPr="00C850BC" w:rsidR="00D07554" w:rsidP="00752842" w:rsidRDefault="00D07554" w14:paraId="35B153E0" w14:textId="77777777">
            <w:pPr>
              <w:spacing w:after="40"/>
              <w:ind w:left="459" w:hanging="425"/>
              <w:jc w:val="both"/>
              <w:rPr>
                <w:rFonts w:ascii="Baxter Sans Core" w:hAnsi="Baxter Sans Core"/>
              </w:rPr>
            </w:pPr>
          </w:p>
          <w:p w:rsidR="00AA07C2" w:rsidP="00752842" w:rsidRDefault="00AA07C2" w14:paraId="677DBE24" w14:textId="77777777">
            <w:pPr>
              <w:numPr>
                <w:ilvl w:val="0"/>
                <w:numId w:val="7"/>
              </w:numPr>
              <w:spacing w:after="40"/>
              <w:ind w:left="459" w:hanging="425"/>
              <w:jc w:val="both"/>
              <w:rPr>
                <w:rFonts w:ascii="Baxter Sans Core" w:hAnsi="Baxter Sans Core"/>
              </w:rPr>
            </w:pPr>
            <w:r w:rsidRPr="2FED8AA9" w:rsidR="00AA07C2">
              <w:rPr>
                <w:rFonts w:ascii="Baxter Sans Core" w:hAnsi="Baxter Sans Core"/>
              </w:rPr>
              <w:t xml:space="preserve">The University reserves the right to withdraw the scholarship immediately and without notice where the student is determined by the University to have misled the University about any aspect of eligibility to receive the scholarship.  </w:t>
            </w:r>
          </w:p>
          <w:p w:rsidRPr="00C850BC" w:rsidR="00D07554" w:rsidP="00752842" w:rsidRDefault="00D07554" w14:paraId="341248A0" w14:textId="77777777">
            <w:pPr>
              <w:spacing w:after="40"/>
              <w:ind w:left="459" w:hanging="425"/>
              <w:jc w:val="both"/>
              <w:rPr>
                <w:rFonts w:ascii="Baxter Sans Core" w:hAnsi="Baxter Sans Core"/>
              </w:rPr>
            </w:pPr>
          </w:p>
          <w:p w:rsidRPr="00D07554" w:rsidR="00D07554" w:rsidP="00752842" w:rsidRDefault="00AA07C2" w14:paraId="4BB1A573" w14:textId="67DE3288">
            <w:pPr>
              <w:numPr>
                <w:ilvl w:val="0"/>
                <w:numId w:val="7"/>
              </w:numPr>
              <w:spacing w:after="40"/>
              <w:ind w:left="459" w:hanging="425"/>
              <w:jc w:val="both"/>
              <w:rPr>
                <w:rFonts w:ascii="Baxter Sans Core" w:hAnsi="Baxter Sans Core"/>
              </w:rPr>
            </w:pPr>
            <w:r w:rsidRPr="2FED8AA9" w:rsidR="00AA07C2">
              <w:rPr>
                <w:rFonts w:ascii="Baxter Sans Core" w:hAnsi="Baxter Sans Core"/>
              </w:rPr>
              <w:t>All scholarship decisions are final and cannot be appealed.</w:t>
            </w:r>
          </w:p>
          <w:p w:rsidRPr="00C850BC" w:rsidR="0064124E" w:rsidP="00001434" w:rsidRDefault="0064124E" w14:paraId="7B15B182" w14:textId="4912797B">
            <w:pPr>
              <w:tabs>
                <w:tab w:val="left" w:pos="740"/>
              </w:tabs>
              <w:spacing w:after="40"/>
              <w:jc w:val="both"/>
              <w:rPr>
                <w:rFonts w:ascii="Baxter Sans Core" w:hAnsi="Baxter Sans Core"/>
              </w:rPr>
            </w:pPr>
          </w:p>
        </w:tc>
      </w:tr>
    </w:tbl>
    <w:p w:rsidRPr="00C850BC" w:rsidR="009C30FB" w:rsidP="00375374" w:rsidRDefault="009C30FB" w14:paraId="18433772" w14:textId="313D1F21">
      <w:pPr>
        <w:spacing w:after="0"/>
        <w:jc w:val="both"/>
        <w:rPr>
          <w:rFonts w:ascii="Baxter Sans Core" w:hAnsi="Baxter Sans Core"/>
        </w:rPr>
      </w:pPr>
    </w:p>
    <w:sectPr w:rsidRPr="00C850BC" w:rsidR="009C30FB" w:rsidSect="00001434">
      <w:headerReference w:type="default" r:id="rId10"/>
      <w:pgSz w:w="11900" w:h="16840" w:orient="portrait"/>
      <w:pgMar w:top="1843" w:right="714" w:bottom="851"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E7F" w:rsidP="009F784C" w:rsidRDefault="00142E7F" w14:paraId="67D09237" w14:textId="77777777">
      <w:pPr>
        <w:spacing w:after="0" w:line="240" w:lineRule="auto"/>
      </w:pPr>
      <w:r>
        <w:separator/>
      </w:r>
    </w:p>
  </w:endnote>
  <w:endnote w:type="continuationSeparator" w:id="0">
    <w:p w:rsidR="00142E7F" w:rsidP="009F784C" w:rsidRDefault="00142E7F" w14:paraId="02056D5C" w14:textId="77777777">
      <w:pPr>
        <w:spacing w:after="0" w:line="240" w:lineRule="auto"/>
      </w:pPr>
      <w:r>
        <w:continuationSeparator/>
      </w:r>
    </w:p>
  </w:endnote>
  <w:endnote w:type="continuationNotice" w:id="1">
    <w:p w:rsidR="00DC220D" w:rsidRDefault="00DC220D" w14:paraId="394B86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E7F" w:rsidP="009F784C" w:rsidRDefault="00142E7F" w14:paraId="22F3AB80" w14:textId="77777777">
      <w:pPr>
        <w:spacing w:after="0" w:line="240" w:lineRule="auto"/>
      </w:pPr>
      <w:r>
        <w:separator/>
      </w:r>
    </w:p>
  </w:footnote>
  <w:footnote w:type="continuationSeparator" w:id="0">
    <w:p w:rsidR="00142E7F" w:rsidP="009F784C" w:rsidRDefault="00142E7F" w14:paraId="2226CA29" w14:textId="77777777">
      <w:pPr>
        <w:spacing w:after="0" w:line="240" w:lineRule="auto"/>
      </w:pPr>
      <w:r>
        <w:continuationSeparator/>
      </w:r>
    </w:p>
  </w:footnote>
  <w:footnote w:type="continuationNotice" w:id="1">
    <w:p w:rsidR="00DC220D" w:rsidRDefault="00DC220D" w14:paraId="2979FB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F784C" w:rsidRDefault="009F784C" w14:paraId="7821C7AD" w14:textId="262F58A2">
    <w:pPr>
      <w:pStyle w:val="Header"/>
    </w:pPr>
    <w:r w:rsidRPr="00C850BC">
      <w:rPr>
        <w:rFonts w:ascii="Baxter Sans Core" w:hAnsi="Baxter Sans Core"/>
        <w:noProof/>
      </w:rPr>
      <w:drawing>
        <wp:inline distT="0" distB="0" distL="0" distR="0" wp14:anchorId="0167F39B" wp14:editId="0BF92FFE">
          <wp:extent cx="1863852" cy="622935"/>
          <wp:effectExtent l="0" t="0" r="0" b="0"/>
          <wp:docPr id="607290594" name="Picture 607290594"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Blue text on a black background&#10;&#10;Description automatically generated"/>
                  <pic:cNvPicPr/>
                </pic:nvPicPr>
                <pic:blipFill>
                  <a:blip r:embed="rId1"/>
                  <a:stretch>
                    <a:fillRect/>
                  </a:stretch>
                </pic:blipFill>
                <pic:spPr>
                  <a:xfrm>
                    <a:off x="0" y="0"/>
                    <a:ext cx="1863852"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72"/>
    <w:multiLevelType w:val="hybridMultilevel"/>
    <w:tmpl w:val="DEEEF8F8"/>
    <w:lvl w:ilvl="0" w:tplc="D3BA05D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28443DA">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41C8D6C">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71A9592">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FC40A14">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22A2CEA">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DF8F09C">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FCA7ACE">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1CA5B90">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D6E41CD"/>
    <w:multiLevelType w:val="hybridMultilevel"/>
    <w:tmpl w:val="FBE64CA4"/>
    <w:lvl w:ilvl="0" w:tplc="0809000F">
      <w:start w:val="1"/>
      <w:numFmt w:val="decimal"/>
      <w:lvlText w:val="%1."/>
      <w:lvlJc w:val="left"/>
      <w:pPr>
        <w:ind w:left="360"/>
      </w:pPr>
      <w:rPr>
        <w:rFonts w:hint="default"/>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FFFFFFF">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FFFFFFF">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FFFFFFF">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FFFFFFF">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FFFFFFF">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FFFFFFF">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FFFFF">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DC672B8"/>
    <w:multiLevelType w:val="hybridMultilevel"/>
    <w:tmpl w:val="E56867AC"/>
    <w:lvl w:ilvl="0" w:tplc="0809000F">
      <w:start w:val="1"/>
      <w:numFmt w:val="decimal"/>
      <w:lvlText w:val="%1."/>
      <w:lvlJc w:val="left"/>
      <w:pPr>
        <w:ind w:left="360"/>
      </w:pPr>
      <w:rPr>
        <w:rFonts w:hint="default"/>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FFFFFFF">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FFFFFFF">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FFFFFFF">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FFFFFFF">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FFFFFFF">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FFFFFFF">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FFFFF">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EC9050E"/>
    <w:multiLevelType w:val="hybridMultilevel"/>
    <w:tmpl w:val="E60018B2"/>
    <w:lvl w:ilvl="0" w:tplc="08090001">
      <w:start w:val="1"/>
      <w:numFmt w:val="bullet"/>
      <w:lvlText w:val=""/>
      <w:lvlJc w:val="left"/>
      <w:pPr>
        <w:ind w:left="36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FFFFFFF">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FFFFFFF">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FFFFFFF">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FFFFFFF">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FFFFFFF">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FFFFFFF">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FFFFF">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1F429E9"/>
    <w:multiLevelType w:val="hybridMultilevel"/>
    <w:tmpl w:val="0B728294"/>
    <w:lvl w:ilvl="0" w:tplc="F928183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8227872">
      <w:start w:val="1"/>
      <w:numFmt w:val="bullet"/>
      <w:lvlText w:val="o"/>
      <w:lvlJc w:val="left"/>
      <w:pPr>
        <w:ind w:left="7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A46F59E">
      <w:start w:val="1"/>
      <w:numFmt w:val="bullet"/>
      <w:lvlText w:val="▪"/>
      <w:lvlJc w:val="left"/>
      <w:pPr>
        <w:ind w:left="190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5F7A5F08">
      <w:start w:val="1"/>
      <w:numFmt w:val="bullet"/>
      <w:lvlText w:val="•"/>
      <w:lvlJc w:val="left"/>
      <w:pPr>
        <w:ind w:left="262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1B3290B8">
      <w:start w:val="1"/>
      <w:numFmt w:val="bullet"/>
      <w:lvlText w:val="o"/>
      <w:lvlJc w:val="left"/>
      <w:pPr>
        <w:ind w:left="334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8624A87E">
      <w:start w:val="1"/>
      <w:numFmt w:val="bullet"/>
      <w:lvlText w:val="▪"/>
      <w:lvlJc w:val="left"/>
      <w:pPr>
        <w:ind w:left="406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74D0B090">
      <w:start w:val="1"/>
      <w:numFmt w:val="bullet"/>
      <w:lvlText w:val="•"/>
      <w:lvlJc w:val="left"/>
      <w:pPr>
        <w:ind w:left="478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1A70AB46">
      <w:start w:val="1"/>
      <w:numFmt w:val="bullet"/>
      <w:lvlText w:val="o"/>
      <w:lvlJc w:val="left"/>
      <w:pPr>
        <w:ind w:left="550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42D2E4AC">
      <w:start w:val="1"/>
      <w:numFmt w:val="bullet"/>
      <w:lvlText w:val="▪"/>
      <w:lvlJc w:val="left"/>
      <w:pPr>
        <w:ind w:left="622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35206B1"/>
    <w:multiLevelType w:val="hybridMultilevel"/>
    <w:tmpl w:val="DE3E9538"/>
    <w:lvl w:ilvl="0" w:tplc="08090001">
      <w:start w:val="1"/>
      <w:numFmt w:val="bullet"/>
      <w:lvlText w:val=""/>
      <w:lvlJc w:val="left"/>
      <w:pPr>
        <w:ind w:left="1179" w:hanging="360"/>
      </w:pPr>
      <w:rPr>
        <w:rFonts w:hint="default" w:ascii="Symbol" w:hAnsi="Symbol"/>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6" w15:restartNumberingAfterBreak="0">
    <w:nsid w:val="65581E50"/>
    <w:multiLevelType w:val="hybridMultilevel"/>
    <w:tmpl w:val="246208CA"/>
    <w:lvl w:ilvl="0" w:tplc="792874A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7D4A0A2">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87CDD1E">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98E802E">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CA843B8">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A54B54C">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26417C2">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B0C3E38">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FF6EDE6">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7D4B055F"/>
    <w:multiLevelType w:val="hybridMultilevel"/>
    <w:tmpl w:val="8848B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672E5"/>
    <w:multiLevelType w:val="hybridMultilevel"/>
    <w:tmpl w:val="2B3C2A2C"/>
    <w:lvl w:ilvl="0" w:tplc="649C408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F26EE6A">
      <w:start w:val="1"/>
      <w:numFmt w:val="bullet"/>
      <w:lvlText w:val="o"/>
      <w:lvlJc w:val="left"/>
      <w:pPr>
        <w:ind w:left="11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24A8724">
      <w:start w:val="1"/>
      <w:numFmt w:val="bullet"/>
      <w:lvlText w:val="▪"/>
      <w:lvlJc w:val="left"/>
      <w:pPr>
        <w:ind w:left="19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6425B94">
      <w:start w:val="1"/>
      <w:numFmt w:val="bullet"/>
      <w:lvlText w:val="•"/>
      <w:lvlJc w:val="left"/>
      <w:pPr>
        <w:ind w:left="26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CF0C3DA">
      <w:start w:val="1"/>
      <w:numFmt w:val="bullet"/>
      <w:lvlText w:val="o"/>
      <w:lvlJc w:val="left"/>
      <w:pPr>
        <w:ind w:left="33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D347D2E">
      <w:start w:val="1"/>
      <w:numFmt w:val="bullet"/>
      <w:lvlText w:val="▪"/>
      <w:lvlJc w:val="left"/>
      <w:pPr>
        <w:ind w:left="40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C442B4A">
      <w:start w:val="1"/>
      <w:numFmt w:val="bullet"/>
      <w:lvlText w:val="•"/>
      <w:lvlJc w:val="left"/>
      <w:pPr>
        <w:ind w:left="47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AE26D6C">
      <w:start w:val="1"/>
      <w:numFmt w:val="bullet"/>
      <w:lvlText w:val="o"/>
      <w:lvlJc w:val="left"/>
      <w:pPr>
        <w:ind w:left="55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92A24B6">
      <w:start w:val="1"/>
      <w:numFmt w:val="bullet"/>
      <w:lvlText w:val="▪"/>
      <w:lvlJc w:val="left"/>
      <w:pPr>
        <w:ind w:left="62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1926183747">
    <w:abstractNumId w:val="0"/>
  </w:num>
  <w:num w:numId="2" w16cid:durableId="1822308986">
    <w:abstractNumId w:val="6"/>
  </w:num>
  <w:num w:numId="3" w16cid:durableId="84613636">
    <w:abstractNumId w:val="8"/>
  </w:num>
  <w:num w:numId="4" w16cid:durableId="553850320">
    <w:abstractNumId w:val="4"/>
  </w:num>
  <w:num w:numId="5" w16cid:durableId="614875283">
    <w:abstractNumId w:val="1"/>
  </w:num>
  <w:num w:numId="6" w16cid:durableId="1490367667">
    <w:abstractNumId w:val="2"/>
  </w:num>
  <w:num w:numId="7" w16cid:durableId="1394698416">
    <w:abstractNumId w:val="7"/>
  </w:num>
  <w:num w:numId="8" w16cid:durableId="1986884880">
    <w:abstractNumId w:val="5"/>
  </w:num>
  <w:num w:numId="9" w16cid:durableId="186455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FB"/>
    <w:rsid w:val="00001434"/>
    <w:rsid w:val="00050BB0"/>
    <w:rsid w:val="00085F20"/>
    <w:rsid w:val="001179C7"/>
    <w:rsid w:val="00142E7F"/>
    <w:rsid w:val="00155083"/>
    <w:rsid w:val="00177CE4"/>
    <w:rsid w:val="001A3F25"/>
    <w:rsid w:val="001F5219"/>
    <w:rsid w:val="00246699"/>
    <w:rsid w:val="0026022E"/>
    <w:rsid w:val="002C7031"/>
    <w:rsid w:val="002E27ED"/>
    <w:rsid w:val="00375374"/>
    <w:rsid w:val="00511BEA"/>
    <w:rsid w:val="005E24B8"/>
    <w:rsid w:val="005F10FF"/>
    <w:rsid w:val="00614737"/>
    <w:rsid w:val="0064124E"/>
    <w:rsid w:val="006B3836"/>
    <w:rsid w:val="00720252"/>
    <w:rsid w:val="00741EFD"/>
    <w:rsid w:val="0074314E"/>
    <w:rsid w:val="00752842"/>
    <w:rsid w:val="007626EB"/>
    <w:rsid w:val="008B0B10"/>
    <w:rsid w:val="008B3CFD"/>
    <w:rsid w:val="009417D0"/>
    <w:rsid w:val="009C30FB"/>
    <w:rsid w:val="009F784C"/>
    <w:rsid w:val="00AA07C2"/>
    <w:rsid w:val="00B211B9"/>
    <w:rsid w:val="00B828D7"/>
    <w:rsid w:val="00BD06EA"/>
    <w:rsid w:val="00C123F9"/>
    <w:rsid w:val="00C819D1"/>
    <w:rsid w:val="00C850BC"/>
    <w:rsid w:val="00CC3D5F"/>
    <w:rsid w:val="00CF082A"/>
    <w:rsid w:val="00CF2461"/>
    <w:rsid w:val="00D07554"/>
    <w:rsid w:val="00DC220D"/>
    <w:rsid w:val="00DF6CD2"/>
    <w:rsid w:val="00E16E5C"/>
    <w:rsid w:val="00FD3B0A"/>
    <w:rsid w:val="17E4F5E7"/>
    <w:rsid w:val="2A9486F1"/>
    <w:rsid w:val="2FED8AA9"/>
    <w:rsid w:val="3155E0AD"/>
    <w:rsid w:val="37D87D15"/>
    <w:rsid w:val="4AFD29AB"/>
    <w:rsid w:val="5177131A"/>
    <w:rsid w:val="5DF0B9AE"/>
    <w:rsid w:val="71466BC0"/>
    <w:rsid w:val="79F15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C51"/>
  <w15:docId w15:val="{8B5696FD-1263-4ED2-BBF1-E6C5FEF6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27ED"/>
    <w:pPr>
      <w:ind w:left="720"/>
      <w:contextualSpacing/>
    </w:pPr>
  </w:style>
  <w:style w:type="paragraph" w:styleId="Header">
    <w:name w:val="header"/>
    <w:basedOn w:val="Normal"/>
    <w:link w:val="HeaderChar"/>
    <w:uiPriority w:val="99"/>
    <w:unhideWhenUsed/>
    <w:rsid w:val="009F78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784C"/>
    <w:rPr>
      <w:rFonts w:ascii="Calibri" w:hAnsi="Calibri" w:eastAsia="Calibri" w:cs="Calibri"/>
      <w:color w:val="000000"/>
    </w:rPr>
  </w:style>
  <w:style w:type="paragraph" w:styleId="Footer">
    <w:name w:val="footer"/>
    <w:basedOn w:val="Normal"/>
    <w:link w:val="FooterChar"/>
    <w:uiPriority w:val="99"/>
    <w:unhideWhenUsed/>
    <w:rsid w:val="009F78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784C"/>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F61DA-5CDB-4E21-B0C1-E435F7B13D39}">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7ff480ac-45e0-46f2-9581-196308bf1991"/>
  </ds:schemaRefs>
</ds:datastoreItem>
</file>

<file path=customXml/itemProps2.xml><?xml version="1.0" encoding="utf-8"?>
<ds:datastoreItem xmlns:ds="http://schemas.openxmlformats.org/officeDocument/2006/customXml" ds:itemID="{886112EA-0D03-45D4-8C2A-5231F92A3BD3}">
  <ds:schemaRefs>
    <ds:schemaRef ds:uri="http://schemas.microsoft.com/sharepoint/v3/contenttype/forms"/>
  </ds:schemaRefs>
</ds:datastoreItem>
</file>

<file path=customXml/itemProps3.xml><?xml version="1.0" encoding="utf-8"?>
<ds:datastoreItem xmlns:ds="http://schemas.openxmlformats.org/officeDocument/2006/customXml" ds:itemID="{887E137C-B3EB-4D32-BA72-B9FF62BC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Hayter (Staff)</dc:creator>
  <keywords/>
  <lastModifiedBy>Nika Bartodziej (Staff)</lastModifiedBy>
  <revision>43</revision>
  <dcterms:created xsi:type="dcterms:W3CDTF">2023-02-14T15:37:00.0000000Z</dcterms:created>
  <dcterms:modified xsi:type="dcterms:W3CDTF">2023-10-27T14:53:23.8231822Z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MediaServiceImageTags">
    <vt:lpwstr/>
  </property>
  <property fmtid="{D5CDD505-2E9C-101B-9397-08002B2CF9AE}" pid="4" name="Order">
    <vt:r8>138200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